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5C14" w:rsidRPr="000F3CB0" w:rsidRDefault="00E55C14" w:rsidP="00E55C14">
      <w:pPr>
        <w:spacing w:after="0" w:line="240" w:lineRule="auto"/>
        <w:ind w:firstLine="454"/>
        <w:jc w:val="both"/>
        <w:rPr>
          <w:rFonts w:ascii="Times New Roman" w:hAnsi="Times New Roman"/>
          <w:sz w:val="28"/>
          <w:szCs w:val="28"/>
          <w:lang w:val="kk-KZ"/>
        </w:rPr>
      </w:pPr>
      <w:r>
        <w:rPr>
          <w:rFonts w:ascii="Times New Roman" w:hAnsi="Times New Roman"/>
          <w:b/>
          <w:sz w:val="28"/>
          <w:szCs w:val="28"/>
          <w:lang w:val="kk-KZ"/>
        </w:rPr>
        <w:t xml:space="preserve">Лекция 10 – 11 </w:t>
      </w:r>
      <w:r w:rsidRPr="000F3CB0">
        <w:rPr>
          <w:rFonts w:ascii="Times New Roman" w:hAnsi="Times New Roman"/>
          <w:b/>
          <w:sz w:val="28"/>
          <w:szCs w:val="28"/>
          <w:lang w:val="kk-KZ"/>
        </w:rPr>
        <w:t>Мемлекеттік ұйымдардығы менеджмент</w:t>
      </w:r>
    </w:p>
    <w:p w:rsidR="00E55C14" w:rsidRPr="008F4070" w:rsidRDefault="00E55C14" w:rsidP="00E55C14">
      <w:pPr>
        <w:spacing w:after="0" w:line="240" w:lineRule="auto"/>
        <w:ind w:firstLine="454"/>
        <w:jc w:val="both"/>
        <w:rPr>
          <w:rFonts w:ascii="Times New Roman" w:hAnsi="Times New Roman"/>
          <w:b/>
          <w:sz w:val="28"/>
          <w:szCs w:val="28"/>
          <w:lang w:val="kk-KZ"/>
        </w:rPr>
      </w:pPr>
      <w:r w:rsidRPr="000F3CB0">
        <w:rPr>
          <w:rFonts w:ascii="Times New Roman" w:hAnsi="Times New Roman"/>
          <w:sz w:val="28"/>
          <w:szCs w:val="28"/>
          <w:lang w:val="kk-KZ"/>
        </w:rPr>
        <w:t>.</w:t>
      </w:r>
      <w:r w:rsidRPr="008F4070">
        <w:rPr>
          <w:rFonts w:ascii="Times New Roman" w:hAnsi="Times New Roman"/>
          <w:b/>
          <w:sz w:val="28"/>
          <w:szCs w:val="28"/>
          <w:lang w:val="kk-KZ"/>
        </w:rPr>
        <w:t>Мемлекеттік стратегиялық менеджмент</w:t>
      </w:r>
    </w:p>
    <w:p w:rsidR="00E55C14" w:rsidRPr="000F3CB0" w:rsidRDefault="00E55C14" w:rsidP="00E55C14">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Мемлекет жүйесіндегі менеджмент кәсіптік менеджменттен әлдеқайда әртүрлі , ол бірнеше  факторлармен байланысты.</w:t>
      </w:r>
    </w:p>
    <w:p w:rsidR="00E55C14" w:rsidRPr="000F3CB0" w:rsidRDefault="00E55C14" w:rsidP="00E55C14">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АҚШ-тың бұыбұрынғы президенті Дж. Форд осы қиыншылықтарды былай түсіндіреді: «Көптеген жеке кәсіпкерлер министр немесе басқа да мемлекеттік және саяси лауазымға ие болғаннан кейін , өз міндеттеріне  қанағаттанбайды. Олар бұдан біршама ауқымды  билікке үйренгені болса керек .  Ал үкіметке олар белгілі бір ережелерге бағынуы  міндет. Осыған бейімделу көбіне қиынға соғады».</w:t>
      </w:r>
    </w:p>
    <w:p w:rsidR="00E55C14" w:rsidRPr="000F3CB0" w:rsidRDefault="00E55C14" w:rsidP="00E55C14">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Шынында да ,  белгілі бір кәсіпорын  басшылары  үкіметте лауазымды орынға келгеннен кейін, бірден үкімет және мемлекет жүйесіне көптеген жаңалықтар мен өзгерістер енгізсем деп үміттенеді. Бірақ біраз уақыт өте келе көбісі орындарын босатуға тиіс болады. Осының бірден бір себебі мемлекеттік органдардағы  шексіз ережелермен  қамтылған бюрократизм болып табылады. Және кез келген үкімет жүйесіндегі  өзгеріс  кәсіпкерліктегі өзгерістерге қарағанда  өте баяу  жүреді. Мемлекеттік қызмет жүйесіндегі тағы бір маңызды айырмашылығы лауазымының , яғни қызметінің жоғарығысының белсенділігі де жоғары болуы тиіс.</w:t>
      </w:r>
    </w:p>
    <w:p w:rsidR="00E55C14" w:rsidRPr="000F3CB0" w:rsidRDefault="00E55C14" w:rsidP="00E55C14">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Әрі қарай шешім қабылдауға қатысатын қызметкерлердің  санын ескеру маңызды. Кез келген қарапайым акт,құжат  қанша министрліктердің қолынан өтеді. Тәжірбие көрсеткендей, құжаттың министрліктен министрлікке  өтуі  оның осы құжаттың толыққанды зерттелуімен байланысты. Бұл мемлекеттік шешімдердің оң көзқарас танытуына кедергі келтіреді. Керісінше, дәл осы үшін көптеген мемлекеттік шешімдер өз мән мағынасын жоғалтады. Шешімдердің жасалуына көп адам жұмылдырылған жағдайда оның бастапқы авторын айқындап айту мүмкін болмайды. Осылайша жеке жауапкершілік түсінігі бірте-бірте өз мәнін жоғалтады.</w:t>
      </w:r>
    </w:p>
    <w:p w:rsidR="00E55C14" w:rsidRPr="000F3CB0" w:rsidRDefault="00E55C14" w:rsidP="00E55C14">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Мемлекеттік мекемелерде менеджменттін жүзеге асырылуына байланысты көптеген саяси шектеулер болады. Кез келген мемлекеттік орган шешімдері саясаткерлердің қызығушылығын аударады. Сондықтан да әр түрлі саяси лобби өкілдері мемлекеттік менеджментке өз ықпалын тигізуге талпынады. АҚШ-тағы Сиракуз Университетінің профессоры Джеффри Страуссмен мемлекеттік жасалуының 3 қадамын атап көрсетеді:</w:t>
      </w:r>
    </w:p>
    <w:p w:rsidR="00E55C14" w:rsidRPr="001B70DF" w:rsidRDefault="00E55C14" w:rsidP="00E55C14">
      <w:pPr>
        <w:spacing w:after="0" w:line="240" w:lineRule="auto"/>
        <w:ind w:firstLine="454"/>
        <w:jc w:val="both"/>
        <w:rPr>
          <w:rStyle w:val="a3"/>
          <w:rFonts w:ascii="Times New Roman" w:hAnsi="Times New Roman"/>
          <w:sz w:val="28"/>
          <w:szCs w:val="28"/>
          <w:lang w:val="kk-KZ"/>
        </w:rPr>
      </w:pPr>
      <w:r w:rsidRPr="000F3CB0">
        <w:rPr>
          <w:rFonts w:ascii="Times New Roman" w:hAnsi="Times New Roman"/>
          <w:sz w:val="28"/>
          <w:szCs w:val="28"/>
          <w:lang w:val="kk-KZ"/>
        </w:rPr>
        <w:t xml:space="preserve">Бірінші  қадам: жағдайдың бағалануы. Саяси билік кең ауқымды феномен .  Ол өзіне мемлекеттік басқарудың ресми бөлігін қамтиды , оның құрамында атқарушы билік , парламент,  конституция,  яғни орталық және жергілікті юасқару арасындағы құқықтық қарым-қатынас  жүйесі.  </w:t>
      </w:r>
    </w:p>
    <w:p w:rsidR="00E55C14" w:rsidRPr="000F3CB0" w:rsidRDefault="00E55C14" w:rsidP="00E55C14">
      <w:pPr>
        <w:spacing w:after="0" w:line="240" w:lineRule="auto"/>
        <w:ind w:firstLine="454"/>
        <w:jc w:val="both"/>
        <w:rPr>
          <w:rStyle w:val="a3"/>
          <w:rFonts w:ascii="Times New Roman" w:hAnsi="Times New Roman"/>
          <w:sz w:val="28"/>
          <w:szCs w:val="28"/>
          <w:lang w:val="kk-KZ"/>
        </w:rPr>
      </w:pPr>
      <w:r w:rsidRPr="000F3CB0">
        <w:rPr>
          <w:rStyle w:val="a3"/>
          <w:rFonts w:ascii="Times New Roman" w:hAnsi="Times New Roman"/>
          <w:sz w:val="28"/>
          <w:szCs w:val="28"/>
          <w:lang w:val="kk-KZ"/>
        </w:rPr>
        <w:t xml:space="preserve">Сонымен, саяси билік </w:t>
      </w:r>
      <w:r w:rsidRPr="001B70DF">
        <w:rPr>
          <w:rStyle w:val="a3"/>
          <w:rFonts w:ascii="Times New Roman" w:hAnsi="Times New Roman"/>
          <w:sz w:val="28"/>
          <w:szCs w:val="28"/>
          <w:lang w:val="kk-KZ"/>
        </w:rPr>
        <w:t>“</w:t>
      </w:r>
      <w:r w:rsidRPr="000F3CB0">
        <w:rPr>
          <w:rStyle w:val="a3"/>
          <w:rFonts w:ascii="Times New Roman" w:hAnsi="Times New Roman"/>
          <w:sz w:val="28"/>
          <w:szCs w:val="28"/>
          <w:lang w:val="kk-KZ"/>
        </w:rPr>
        <w:t>үшінші күш</w:t>
      </w:r>
      <w:r w:rsidRPr="001B70DF">
        <w:rPr>
          <w:rStyle w:val="a3"/>
          <w:rFonts w:ascii="Times New Roman" w:hAnsi="Times New Roman"/>
          <w:sz w:val="28"/>
          <w:szCs w:val="28"/>
          <w:lang w:val="kk-KZ"/>
        </w:rPr>
        <w:t xml:space="preserve">” </w:t>
      </w:r>
      <w:r w:rsidRPr="000F3CB0">
        <w:rPr>
          <w:rStyle w:val="a3"/>
          <w:rFonts w:ascii="Times New Roman" w:hAnsi="Times New Roman"/>
          <w:sz w:val="28"/>
          <w:szCs w:val="28"/>
          <w:lang w:val="kk-KZ"/>
        </w:rPr>
        <w:t>өкілдері арасында орналасқан-коммерциялық емес ұйымдар, қызығушылық топтары, ірі қамтамасыз етушілер, кәсіпқой топтар ассоциациялары, бұл мәселе заманауи билік құрылымын күрделендіруде.</w:t>
      </w:r>
    </w:p>
    <w:p w:rsidR="00E55C14" w:rsidRPr="000F3CB0" w:rsidRDefault="00E55C14" w:rsidP="00E55C14">
      <w:pPr>
        <w:spacing w:after="0" w:line="240" w:lineRule="auto"/>
        <w:ind w:firstLine="454"/>
        <w:jc w:val="both"/>
        <w:rPr>
          <w:rStyle w:val="a3"/>
          <w:rFonts w:ascii="Times New Roman" w:hAnsi="Times New Roman"/>
          <w:sz w:val="28"/>
          <w:szCs w:val="28"/>
          <w:lang w:val="kk-KZ"/>
        </w:rPr>
      </w:pPr>
      <w:r w:rsidRPr="000F3CB0">
        <w:rPr>
          <w:rStyle w:val="a3"/>
          <w:rFonts w:ascii="Times New Roman" w:hAnsi="Times New Roman"/>
          <w:sz w:val="28"/>
          <w:szCs w:val="28"/>
          <w:lang w:val="kk-KZ"/>
        </w:rPr>
        <w:t xml:space="preserve">Аталмыш билік көрсеткіштері өзінің динамикасымен ерекшеленеді. Билік ауысады, жаңа заңдар қабылданады, қоғамдық ойда әрқашанөзгерістер орын алады, ал саяси билік жиі кері қарастырылады. Билік институттары </w:t>
      </w:r>
      <w:r w:rsidRPr="000F3CB0">
        <w:rPr>
          <w:rStyle w:val="a3"/>
          <w:rFonts w:ascii="Times New Roman" w:hAnsi="Times New Roman"/>
          <w:sz w:val="28"/>
          <w:szCs w:val="28"/>
          <w:lang w:val="kk-KZ"/>
        </w:rPr>
        <w:lastRenderedPageBreak/>
        <w:t>шенеуніктер өкіметтігін шектейтін орта қалыптастырады. Дәл осы шектеулер билікке қолы жеткен бизнес өкілдер, компания басшылары тарапынанкөңіл толмаушылыққа ұшыраған, олардың бизнестегі тәжірибесін саясатта, екеуінің арасындағы айырмашылыққа қарамастан, қолдануға болады деп есептейді.</w:t>
      </w:r>
    </w:p>
    <w:p w:rsidR="00E55C14" w:rsidRPr="000F3CB0" w:rsidRDefault="00E55C14" w:rsidP="00E55C14">
      <w:pPr>
        <w:spacing w:after="0" w:line="240" w:lineRule="auto"/>
        <w:ind w:firstLine="454"/>
        <w:jc w:val="both"/>
        <w:rPr>
          <w:rStyle w:val="a3"/>
          <w:rFonts w:ascii="Times New Roman" w:hAnsi="Times New Roman"/>
          <w:sz w:val="28"/>
          <w:szCs w:val="28"/>
          <w:lang w:val="kk-KZ"/>
        </w:rPr>
      </w:pPr>
      <w:r w:rsidRPr="000F3CB0">
        <w:rPr>
          <w:rStyle w:val="a3"/>
          <w:rFonts w:ascii="Times New Roman" w:hAnsi="Times New Roman"/>
          <w:sz w:val="28"/>
          <w:szCs w:val="28"/>
          <w:lang w:val="kk-KZ"/>
        </w:rPr>
        <w:t>Қазіргі демократиялық мемлекетте билік легитимдігі халық тарапынан қолдау табуда. Билік органдарындағыкең өкілдік етуі осыған теориялық құралдар болып табылады. Алайда, егер өкілді институт – парламент, философиялық “бірінші принцип”, демократияны ұстанса, дәл осы принцип министрлік менеджерінің жедел басшылығына ала алмайды. Ол парламент қабылдаған, заңға сәйкес болжамдарға сүйіне отырып саяси ұсыныстарды жүзеге асытуға тиіс. Саяси билік менеджері жұмсақ түрде шектейді, бұл оған ұсыныс жасауға мүмкіндік береді.</w:t>
      </w:r>
    </w:p>
    <w:p w:rsidR="00E55C14" w:rsidRPr="000F3CB0" w:rsidRDefault="00E55C14" w:rsidP="00E55C14">
      <w:pPr>
        <w:spacing w:after="0" w:line="240" w:lineRule="auto"/>
        <w:ind w:firstLine="454"/>
        <w:jc w:val="both"/>
        <w:rPr>
          <w:rFonts w:ascii="Times New Roman" w:hAnsi="Times New Roman"/>
          <w:sz w:val="28"/>
          <w:szCs w:val="28"/>
          <w:lang w:val="kk-KZ"/>
        </w:rPr>
      </w:pPr>
      <w:r w:rsidRPr="000F3CB0">
        <w:rPr>
          <w:rStyle w:val="a3"/>
          <w:rFonts w:ascii="Times New Roman" w:hAnsi="Times New Roman"/>
          <w:sz w:val="28"/>
          <w:szCs w:val="28"/>
          <w:lang w:val="kk-KZ"/>
        </w:rPr>
        <w:t>Дж. Страусамен осыған мысал ретінде түрме бастығын келтіреді, түрмеде аса ауыр қылмыс жасағандар отыр. Түрме лық толы, бірақ қылмыс жасау деңгейі өскен сайын, түрмеге түсетін қылмыскерлер саны көбейіп бара жатыр. Бастық қандай әрекет жасауы керек? Ол түсетіндерді қабылдауға тыйым сала алмайды, түрмені үлкейтіп, мерзімінен ерте шығару құзіреті жоқ. Қылмыскерлерді одан әрі қабылдай беру- жалғыз шешім. Өз жұмысыңнан көңіл қалу жағдайы. Бірақ өз жұмысын</w:t>
      </w:r>
      <w:r w:rsidRPr="000F3CB0">
        <w:rPr>
          <w:rFonts w:ascii="Times New Roman" w:hAnsi="Times New Roman"/>
          <w:sz w:val="28"/>
          <w:szCs w:val="28"/>
          <w:lang w:val="kk-KZ"/>
        </w:rPr>
        <w:t xml:space="preserve"> білетін мемлекеттік қызметкер саяси билік бұл мысалында басқа институттармен бөлініп және бұның мемлекеттік әкімшілікте басты, басты принцип екенін түсіндіреді. Соған қарамастан билік сферасыинституттардың белгілі, ресми шекарасынан шығын кетеді. Түрме бастығы өзінің шешіміне ықпал ететін басқа да жайттарға көңіл аударуы тиіс: тоүрме жұмысшыларының маманданған бірлестігі, қылмыскерлердің құқығын қорғайтын топтар, түрме жайлы жағымсыз ақпарат тарататын БАҚ.</w:t>
      </w:r>
    </w:p>
    <w:p w:rsidR="00E55C14" w:rsidRPr="000F3CB0" w:rsidRDefault="00E55C14" w:rsidP="00E55C14">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ab/>
        <w:t>Екінші қадам: саяси билік шектеулерін анықтау. Жақсы мемлекеттік қызметкер саяси билік шектеулерімен қатар өмір сүріп және  олардың қарым- қатынасына өзінің жеке стратегиясын ойлап таба білуі тиіс. Мұндай шектеугемысал- уақыт, таңдау циклі ретінде, саясаткерлерге уақытша шектеу қойып олардың мәселелерін шешуге мерзім қояды. Қалай болғанда да депутаттардың мақсаты, қалаулы болу, сол үшін де бағдарлама немесе саясат соған сәйкес болуы керек. Саяси өмірдің ережелеріне қайшы келе тұра, қызметкерге «басты мақсатты» қолдану мағынасыз.</w:t>
      </w:r>
    </w:p>
    <w:p w:rsidR="00E55C14" w:rsidRPr="000F3CB0" w:rsidRDefault="00E55C14" w:rsidP="00E55C14">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ab/>
        <w:t>Уақыт факторы биліктің қаржы өткелінде де болады. Мемлекеттік биліктің қабылдануы қиындықтар тудырады, соған сәйкес бұл мемлекеттік қызметкердің жұмысын қиындатады. Маманданған қызметкер бюджеттік өткелдің қиындықтарына үйреніп, қаржы ресурстарысыз барлық жобаның сәтсіздікке ұшырайтынын түсінуі тиіс.</w:t>
      </w:r>
    </w:p>
    <w:p w:rsidR="00E55C14" w:rsidRPr="000F3CB0" w:rsidRDefault="00E55C14" w:rsidP="00E55C14">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ab/>
        <w:t xml:space="preserve">Уақыт факторы саясаттың жүргізілуі мен өмір сүруіне қиындықтар туғызаса атындарға да қарсы бағытталуы мүмкін. Сайлаушы қолдағанды жөн көреді. Сондықтан да мемлекеттік қызметкер көрінетін нәтижелерге назар аударуы тиіс, соған қарамастан кейде олар осы бағытқа жауап бермейді. Содан басқа, азаматтар қалауын түсіну қиын болатындықтан, жоғарыдан </w:t>
      </w:r>
      <w:r w:rsidRPr="000F3CB0">
        <w:rPr>
          <w:rFonts w:ascii="Times New Roman" w:hAnsi="Times New Roman"/>
          <w:sz w:val="28"/>
          <w:szCs w:val="28"/>
          <w:lang w:val="kk-KZ"/>
        </w:rPr>
        <w:lastRenderedPageBreak/>
        <w:t>келетін бұйрықтарды орындау оңай емес. Дәлірек айтсақ, мемлекеттік қызметткердің негізгі ісі осы.</w:t>
      </w:r>
    </w:p>
    <w:p w:rsidR="00E55C14" w:rsidRPr="000F3CB0" w:rsidRDefault="00E55C14" w:rsidP="00E55C14">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ab/>
        <w:t>Халық саяси билік ісінде шектеуші фактор болып табылады, әсіресе мемлекеттік қызмет жүйесінде. Жиі мемлекеттік басқару органына келген шаруашылық жетекшілерескірген, әзерсіз және тіпті иррационалды ережелерге таңданады. Әсіресе жүйе қаттылығы, жақсы қызметкерлерді бағыттау қиындығы қатты сыналады. Алайда, егер қызметкер сәтті мансап жасағысы келсе, мемлекеттік қызмет жүйесінің жағдайына, қызметке қатынасына қарамастан, жұмыс істеуіне тура келеді. Шаруашылық жетекшілер менеджері жүйе қаталдығын белгілі жағдайларда былай айқындалатынын түсіну керек: саяси құндылықтарды орнықтыру, соның ішінде адам жетістіктері, мүмкіншіліктер теңдігі, қажетті заңмен қарастырылған процедуралық кепілдіктер. Бұл да өзге де мелекеттік қызмет жүйесінің құндылықтары батыста 100 жыл «жұмыс істеуде». Саяси жүйенің шектеулерін тек жай ирроционалды жүйелік меже деп емес, дәл осылай дұрыс қарастыру қажет.</w:t>
      </w:r>
    </w:p>
    <w:p w:rsidR="00E55C14" w:rsidRPr="000F3CB0" w:rsidRDefault="00E55C14" w:rsidP="00E55C14">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ab/>
        <w:t xml:space="preserve">Биліктегі жаңа адамдарды соңғы нәтижелердің бұлыңғырлығы таңғалдырады. Өнеркәсіп балансының қорытынды нәтижесіне қарағанда кедейшілік төмендеуі, қажетті медециналық қызмет, мемлекеттік қорғаныс сақталуы, қоршаған орта сапасын көтеру сияқты көрсеткіштер концептуалды айқындылыққа ие емес. Алайда, корпорация белгісі- оның жұмысын бағалайтын жалғыз амал емес. Өкімет мақсатын, корпорация табысын есептегендей болмаса да, санап өлшеуге болады. Бірақ, әсерлі менеджер өзінің кәсібінің іскерлігін анықтау үшін нәтижені күтпейді. Одан да ол өндіру процесінқұрамдарға бөліп өтпелі фазалар арқылы бағалар еді. </w:t>
      </w:r>
    </w:p>
    <w:p w:rsidR="00E55C14" w:rsidRPr="000F3CB0" w:rsidRDefault="00E55C14" w:rsidP="00E55C14">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ab/>
        <w:t>Үшінші этап: саяси ойындағы менеджер рөлінің анықталуы. Жағдайды дұрыс анықтаған мемлекеттік менеджерлер өз шешімдері саяси билікпен қудаланатынын түсінеді. Бұл құрылымдауды сипаттау үшін «ойын» термині қолданылып, әр ойын өз ережелеріне ие болады. Бәстер осындайда әсіресе жоғары: үлкен ойын ережесі бойынша саясаткерлер мен үкімет сәтсіздік жағдайында қызметтерінен кетуге мәжбүр болады.</w:t>
      </w:r>
    </w:p>
    <w:p w:rsidR="00E55C14" w:rsidRPr="000F3CB0" w:rsidRDefault="00E55C14" w:rsidP="00E55C14">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ab/>
        <w:t xml:space="preserve">Әдеттегі мемлекеттік менеджер үлкен ойындарға жүйелі түрде қатыспайды, алайда оның кәсіпқой ретіндегі пікірі қажет. Сөйтсе де, өз саласында үлкен билікке ие менеджерлер саясаткерлерге медецинлық, әлеуметтік қамтамасыз ету салаларында ұсыныс жасап, әсер ете алады. Сонымен қатар саяси дәрежесінде қабылдан шешімдерді енгізу ұйымы менеджер иығына түседі. Оған мынадай мысал келтіруге болады. АҚШ-та кеміс адамдар бірқатар құқықтарға ие.Осыны, соның ішінде қоғамдық көлік мәселесін жүзеге асыратын федералдық агенттік, кейбір органдар мүгедектерді көлікпен қамтамасыз етпесе федералдық қордан қаражат бөлмейтіндіктерін ескертеді. Қаржы бөлімінің қызметкері мүгедектерді қоғамдық көлікке мінгізетін көтергіштер тым қымбат екендігін мемлекеттік менеджерге айтады. Өзге қызметкер, бұл көтергіштердің қауіптілігінен заңды жауапкершілік артатынын ескертеді. Мүгедектер құқын қорғайтын топ жергілікті билікке осыны орындату үшін қысым жасайды. Бұл жағдайда </w:t>
      </w:r>
      <w:r w:rsidRPr="000F3CB0">
        <w:rPr>
          <w:rFonts w:ascii="Times New Roman" w:hAnsi="Times New Roman"/>
          <w:sz w:val="28"/>
          <w:szCs w:val="28"/>
          <w:lang w:val="kk-KZ"/>
        </w:rPr>
        <w:lastRenderedPageBreak/>
        <w:t>саясатқа көптеген күштер енгізілген, бұны жедел түрде жергілікті билік басшысы орындауы керек.</w:t>
      </w:r>
      <w:r w:rsidRPr="000F3CB0">
        <w:rPr>
          <w:rFonts w:ascii="Times New Roman" w:hAnsi="Times New Roman"/>
          <w:sz w:val="28"/>
          <w:szCs w:val="28"/>
          <w:lang w:val="kk-KZ"/>
        </w:rPr>
        <w:tab/>
      </w:r>
    </w:p>
    <w:p w:rsidR="00E55C14" w:rsidRPr="000F3CB0" w:rsidRDefault="00E55C14" w:rsidP="00E55C14">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Оперативті  шешімдер саяси ойынның орташа деңгейінде қабылданады.Егер жергілікті өкіметтің әлеуметтік  қамсыздандыру менеджері өзінің мекемесінің  жұмыссыздардың  жұмыспен  қаматамасыз  ету  кеңесі ,науқастарды үйде  қараумен  қамтамасыз  ету,балаларды қабылдаушы ұйымдардың  жұмысы сияқты әр  түрлі  қызмет  көрсетуге  мүмкіншілігі  жоқ  екенін  көрсе ,онда  ол жекеменшік  компанияларға немесе  жергілікті  биліктің басқа да орындарынан  көмек сұрай алады.</w:t>
      </w:r>
    </w:p>
    <w:p w:rsidR="00E55C14" w:rsidRPr="000F3CB0" w:rsidRDefault="00E55C14" w:rsidP="00E55C14">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 xml:space="preserve">    Саяси  шектеулер  шешім  қабылдауға  қалай  әсер  етеді?Заң  жекеменшік  фирмалардың әлеуметтік  қызметтерді қолдануына  шектеу  қоя алады. Мемлекеттік  мекеме  ішкі  қызметке  ауыса  бастағанда мемлекеттік  қызметкерлер  наразылық  білдіреді,себебі  бұл  оларды  қызметінен  айырады.Сервистік  компаниялар  тапсырыс  алу  мақсатымен  жергілікті  билікке  қысым  көрсетеді.Байқауымызша  бұл  шектеулер менеджерге  шешім  қабылдауға  көмектеспейді,тек  оны  құрылымдайды.Көп  жағдайда мемлекеттік  басқару  органдарының жұмысы ұйымшыл  және  саяси өмірдің  заңға ,реттеушіге ,кадрлық  процедураларға,ақшалай қажеттіліктерге байланысты  кертартпалық  басым  болатын төменгі  деңгейде  жүзеге  асады.</w:t>
      </w:r>
    </w:p>
    <w:p w:rsidR="00E55C14" w:rsidRPr="000F3CB0" w:rsidRDefault="00E55C14" w:rsidP="00E55C14">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 xml:space="preserve">    Төменгі  деңгейдің  құрылымдарының  тіркеуінсіз  саяси  ойынның  ешқандай  орта  және  жоғарғы  деңгейдегі стратегиясы  жүзеге  аспайды.Бұл  осы  жерде  туындайтын  сұрақтармен  нақтыланады:шешім қабылдау  жолын  жүзеге  асыруда  құралдар  бар ма;берілген  тапсырманы  орындауда  қызметкердің  квалификациясы  жеткілікті ме;ұсынылып  отырған  альтернатива  заң  шығарушыға  қарама-қайшы  келмей  ме;жұмысты  кім  басқарады,т.б.Бұл  сұрақтарға  жауап  таппаған  менеджер тіпті  жақсы  идеялар  мен дұрыс  стратегиялар әкімшілік бөлімдерінің  кертартпалыққа ұшырауына  әкеп  соғатынын түсінеді.Сонымен  қатар  төменгі  деңгейдегі  ойын өзгешелігі- қажетті  болып  табылмаса  да  мемлекеттік  стратегиялық  менеджменнтің  эффективтілігіне  жеткіліксіз  компонент болып  табылады.</w:t>
      </w:r>
    </w:p>
    <w:p w:rsidR="00E55C14" w:rsidRPr="000F3CB0" w:rsidRDefault="00E55C14" w:rsidP="00E55C14">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 xml:space="preserve">    Батыста  стратегиялық  менеджмент  төмендегідей  үш  қызметті  атқарады:алдағы  жылдарға  мақсат  құру;оларға  жету  үшін  шаралар  қолдану  және  сәйкес  келетін  ұймдық  ресурстар  іздестіру ,басқаша  айтқанда,мемлекеттік  менеджмент  біріншіден  қоршаған  ортадан  туындайтын  мүмкіншілік  пен  тәуекелдің,екіншіден,мемлекет  өзінің  негізгі  мақсаттарына  жетуде қазіргі  кездегі  және  болашақта  қызмет етуіне  мемлекеттік  әкімшіліктің  ресурстары  мен  әдістерінің  үйлесімділігін  табуға  болады.</w:t>
      </w:r>
    </w:p>
    <w:p w:rsidR="00E55C14" w:rsidRPr="000F3CB0" w:rsidRDefault="00E55C14" w:rsidP="00E55C14">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 xml:space="preserve">     Эксперттердің  пайымдауынша,стратегиялық  менеджмент:</w:t>
      </w:r>
    </w:p>
    <w:p w:rsidR="00E55C14" w:rsidRPr="000F3CB0" w:rsidRDefault="00E55C14" w:rsidP="00E55C14">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*перспективалар  мен  мақсаттарды  нақты  анықтауға;</w:t>
      </w:r>
    </w:p>
    <w:p w:rsidR="00E55C14" w:rsidRPr="000F3CB0" w:rsidRDefault="00E55C14" w:rsidP="00E55C14">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*мемлекеттік  басқару  ұйымдарының  негізгі  мәселелерін  қамтуға;</w:t>
      </w:r>
    </w:p>
    <w:p w:rsidR="00E55C14" w:rsidRPr="000F3CB0" w:rsidRDefault="00E55C14" w:rsidP="00E55C14">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*нақты  жоспарлау  мен  осы шешімдерді  қабылдауға  ден  қою.</w:t>
      </w:r>
    </w:p>
    <w:p w:rsidR="00E55C14" w:rsidRPr="000F3CB0" w:rsidRDefault="00E55C14" w:rsidP="00E55C14">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*мемлекеттік  әкімшілікке  жүйелік және  ішкі  тұрақтылық  беру.</w:t>
      </w:r>
    </w:p>
    <w:p w:rsidR="00E55C14" w:rsidRPr="000F3CB0" w:rsidRDefault="00E55C14" w:rsidP="00E55C14">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*белсенді  жұмыс  атқарылу  үшін  жоғарғы  басшылықты  мемлекеттік  құрылымды  мобилизациялауға  міндеттеу.</w:t>
      </w:r>
    </w:p>
    <w:p w:rsidR="00E55C14" w:rsidRPr="000F3CB0" w:rsidRDefault="00E55C14" w:rsidP="00E55C14">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lastRenderedPageBreak/>
        <w:t xml:space="preserve">   Стратегиялық  мақсат-бұл  мемлекеттік  менеджменттің  ұзақ  уақыт бойы (5-10жыл) орындауға  тырысатын  негізгі  нәтижесі. Эксперттердің  айтуынша  мақсаттың  нормативті саны  4пен 6ның  арасында тербелуі  мүмкін.Мақсаттар  жалпы  мағынаға  ие,олар  басқарудың жоспарлау,басшылық  пен  пікірдің  қосымша  құралы  болып  табылады.Мысалы,тұрғылықты  топқа  байланысты  қамтудың  максималды  жоғарғы  деңгейіне  жету  көптеген  мемлекеттік  ұйымдардың  стратегиялық  мақсаты  болып  тиабылады.Финдық  мамандардың менеджмент  туралы  кітабында бұл  мақсат келесідей күшпен  нақтыланады: «алдағы  үш  жылға  қамту  пайызын  60тан  75ке  дейін  көтеру  жоспарланып отыр».Бұл  санды  4.1 кестеде  көрсетілгендей  жылдарға  бөлуге  болады.(Мысалға  адам  саныныңпотенциалды  өсу  құрамы  жылына 1000адамды  құрауы  керек,сонда ол 100</w:t>
      </w:r>
      <w:r w:rsidRPr="000F3CB0">
        <w:rPr>
          <w:rFonts w:ascii="Times New Roman" w:hAnsi="Times New Roman"/>
          <w:color w:val="000000"/>
          <w:sz w:val="28"/>
          <w:szCs w:val="28"/>
          <w:lang w:val="ca-ES"/>
        </w:rPr>
        <w:t>%</w:t>
      </w:r>
      <w:r w:rsidRPr="000F3CB0">
        <w:rPr>
          <w:rFonts w:ascii="Times New Roman" w:hAnsi="Times New Roman"/>
          <w:color w:val="000000"/>
          <w:sz w:val="28"/>
          <w:szCs w:val="28"/>
          <w:lang w:val="kk-KZ"/>
        </w:rPr>
        <w:t xml:space="preserve"> орындалады.Сонда  ұймдағы адам санының өсуі  жылына 5%ды құрайды.)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83"/>
        <w:gridCol w:w="1937"/>
        <w:gridCol w:w="1729"/>
        <w:gridCol w:w="16"/>
        <w:gridCol w:w="11"/>
        <w:gridCol w:w="1740"/>
        <w:gridCol w:w="7"/>
        <w:gridCol w:w="28"/>
        <w:gridCol w:w="1720"/>
      </w:tblGrid>
      <w:tr w:rsidR="00E55C14" w:rsidRPr="000F3CB0" w:rsidTr="00BF1302">
        <w:trPr>
          <w:trHeight w:val="602"/>
        </w:trPr>
        <w:tc>
          <w:tcPr>
            <w:tcW w:w="2578" w:type="dxa"/>
            <w:vMerge w:val="restart"/>
          </w:tcPr>
          <w:p w:rsidR="00E55C14" w:rsidRPr="000F3CB0" w:rsidRDefault="00E55C14" w:rsidP="00BF1302">
            <w:pPr>
              <w:spacing w:after="0" w:line="240" w:lineRule="auto"/>
              <w:ind w:firstLine="454"/>
              <w:jc w:val="both"/>
              <w:rPr>
                <w:rFonts w:ascii="Times New Roman" w:eastAsia="Times New Roman" w:hAnsi="Times New Roman"/>
                <w:color w:val="000000"/>
                <w:sz w:val="28"/>
                <w:szCs w:val="28"/>
                <w:lang w:val="en-US"/>
              </w:rPr>
            </w:pPr>
            <w:r w:rsidRPr="000F3CB0">
              <w:rPr>
                <w:rFonts w:ascii="Times New Roman" w:eastAsia="Times New Roman" w:hAnsi="Times New Roman"/>
                <w:color w:val="000000"/>
                <w:sz w:val="28"/>
                <w:szCs w:val="28"/>
                <w:lang w:val="kk-KZ"/>
              </w:rPr>
              <w:t>көрсеткіш</w:t>
            </w:r>
          </w:p>
        </w:tc>
        <w:tc>
          <w:tcPr>
            <w:tcW w:w="2084" w:type="dxa"/>
            <w:vMerge w:val="restart"/>
          </w:tcPr>
          <w:p w:rsidR="00E55C14" w:rsidRPr="000F3CB0" w:rsidRDefault="00E55C14" w:rsidP="00BF1302">
            <w:pPr>
              <w:spacing w:after="0" w:line="240" w:lineRule="auto"/>
              <w:ind w:firstLine="454"/>
              <w:jc w:val="both"/>
              <w:rPr>
                <w:rFonts w:ascii="Times New Roman" w:eastAsia="Times New Roman" w:hAnsi="Times New Roman"/>
                <w:color w:val="000000"/>
                <w:sz w:val="28"/>
                <w:szCs w:val="28"/>
                <w:lang w:val="kk-KZ"/>
              </w:rPr>
            </w:pPr>
            <w:r w:rsidRPr="000F3CB0">
              <w:rPr>
                <w:rFonts w:ascii="Times New Roman" w:eastAsia="Times New Roman" w:hAnsi="Times New Roman"/>
                <w:color w:val="000000"/>
                <w:sz w:val="28"/>
                <w:szCs w:val="28"/>
                <w:lang w:val="kk-KZ"/>
              </w:rPr>
              <w:t xml:space="preserve">1996 жылдың аяғындағы қалып </w:t>
            </w:r>
          </w:p>
        </w:tc>
        <w:tc>
          <w:tcPr>
            <w:tcW w:w="6015" w:type="dxa"/>
            <w:gridSpan w:val="7"/>
            <w:tcBorders>
              <w:top w:val="single" w:sz="4" w:space="0" w:color="auto"/>
              <w:bottom w:val="single" w:sz="4" w:space="0" w:color="auto"/>
              <w:right w:val="single" w:sz="4" w:space="0" w:color="auto"/>
            </w:tcBorders>
          </w:tcPr>
          <w:p w:rsidR="00E55C14" w:rsidRPr="000F3CB0" w:rsidRDefault="00E55C14" w:rsidP="00BF1302">
            <w:pPr>
              <w:spacing w:after="0" w:line="240" w:lineRule="auto"/>
              <w:ind w:firstLine="454"/>
              <w:jc w:val="both"/>
              <w:rPr>
                <w:rFonts w:ascii="Times New Roman" w:eastAsia="Times New Roman" w:hAnsi="Times New Roman"/>
                <w:color w:val="000000"/>
                <w:sz w:val="28"/>
                <w:szCs w:val="28"/>
                <w:lang w:val="kk-KZ"/>
              </w:rPr>
            </w:pPr>
            <w:r w:rsidRPr="000F3CB0">
              <w:rPr>
                <w:rFonts w:ascii="Times New Roman" w:eastAsia="Times New Roman" w:hAnsi="Times New Roman"/>
                <w:color w:val="000000"/>
                <w:sz w:val="28"/>
                <w:szCs w:val="28"/>
                <w:lang w:val="kk-KZ"/>
              </w:rPr>
              <w:t xml:space="preserve">                нәтижелер</w:t>
            </w:r>
          </w:p>
        </w:tc>
      </w:tr>
      <w:tr w:rsidR="00E55C14" w:rsidRPr="000F3CB0" w:rsidTr="00BF1302">
        <w:trPr>
          <w:trHeight w:val="473"/>
        </w:trPr>
        <w:tc>
          <w:tcPr>
            <w:tcW w:w="2578" w:type="dxa"/>
            <w:vMerge/>
          </w:tcPr>
          <w:p w:rsidR="00E55C14" w:rsidRPr="000F3CB0" w:rsidRDefault="00E55C14" w:rsidP="00BF1302">
            <w:pPr>
              <w:spacing w:after="0" w:line="240" w:lineRule="auto"/>
              <w:ind w:firstLine="454"/>
              <w:jc w:val="both"/>
              <w:rPr>
                <w:rFonts w:ascii="Times New Roman" w:eastAsia="Times New Roman" w:hAnsi="Times New Roman"/>
                <w:color w:val="000000"/>
                <w:sz w:val="28"/>
                <w:szCs w:val="28"/>
                <w:lang w:val="kk-KZ"/>
              </w:rPr>
            </w:pPr>
          </w:p>
        </w:tc>
        <w:tc>
          <w:tcPr>
            <w:tcW w:w="2084" w:type="dxa"/>
            <w:vMerge/>
          </w:tcPr>
          <w:p w:rsidR="00E55C14" w:rsidRPr="000F3CB0" w:rsidRDefault="00E55C14" w:rsidP="00BF1302">
            <w:pPr>
              <w:spacing w:after="0" w:line="240" w:lineRule="auto"/>
              <w:ind w:firstLine="454"/>
              <w:jc w:val="both"/>
              <w:rPr>
                <w:rFonts w:ascii="Times New Roman" w:eastAsia="Times New Roman" w:hAnsi="Times New Roman"/>
                <w:color w:val="000000"/>
                <w:sz w:val="28"/>
                <w:szCs w:val="28"/>
                <w:lang w:val="kk-KZ"/>
              </w:rPr>
            </w:pPr>
          </w:p>
        </w:tc>
        <w:tc>
          <w:tcPr>
            <w:tcW w:w="1980" w:type="dxa"/>
            <w:tcBorders>
              <w:top w:val="single" w:sz="4" w:space="0" w:color="auto"/>
              <w:bottom w:val="single" w:sz="4" w:space="0" w:color="auto"/>
              <w:right w:val="single" w:sz="4" w:space="0" w:color="auto"/>
            </w:tcBorders>
          </w:tcPr>
          <w:p w:rsidR="00E55C14" w:rsidRPr="000F3CB0" w:rsidRDefault="00E55C14" w:rsidP="00BF1302">
            <w:pPr>
              <w:spacing w:after="0" w:line="240" w:lineRule="auto"/>
              <w:ind w:firstLine="454"/>
              <w:jc w:val="both"/>
              <w:rPr>
                <w:rFonts w:ascii="Times New Roman" w:eastAsia="Times New Roman" w:hAnsi="Times New Roman"/>
                <w:color w:val="000000"/>
                <w:sz w:val="28"/>
                <w:szCs w:val="28"/>
                <w:lang w:val="kk-KZ"/>
              </w:rPr>
            </w:pPr>
            <w:r w:rsidRPr="000F3CB0">
              <w:rPr>
                <w:rFonts w:ascii="Times New Roman" w:eastAsia="Times New Roman" w:hAnsi="Times New Roman"/>
                <w:color w:val="000000"/>
                <w:sz w:val="28"/>
                <w:szCs w:val="28"/>
                <w:lang w:val="kk-KZ"/>
              </w:rPr>
              <w:t>1997ж аяғы</w:t>
            </w:r>
          </w:p>
        </w:tc>
        <w:tc>
          <w:tcPr>
            <w:tcW w:w="2074" w:type="dxa"/>
            <w:gridSpan w:val="5"/>
            <w:tcBorders>
              <w:top w:val="single" w:sz="4" w:space="0" w:color="auto"/>
              <w:bottom w:val="single" w:sz="4" w:space="0" w:color="auto"/>
              <w:right w:val="single" w:sz="4" w:space="0" w:color="auto"/>
            </w:tcBorders>
          </w:tcPr>
          <w:p w:rsidR="00E55C14" w:rsidRPr="000F3CB0" w:rsidRDefault="00E55C14" w:rsidP="00BF1302">
            <w:pPr>
              <w:spacing w:after="0" w:line="240" w:lineRule="auto"/>
              <w:ind w:firstLine="454"/>
              <w:jc w:val="both"/>
              <w:rPr>
                <w:rFonts w:ascii="Times New Roman" w:eastAsia="Times New Roman" w:hAnsi="Times New Roman"/>
                <w:color w:val="000000"/>
                <w:sz w:val="28"/>
                <w:szCs w:val="28"/>
                <w:lang w:val="kk-KZ"/>
              </w:rPr>
            </w:pPr>
            <w:r w:rsidRPr="000F3CB0">
              <w:rPr>
                <w:rFonts w:ascii="Times New Roman" w:eastAsia="Times New Roman" w:hAnsi="Times New Roman"/>
                <w:color w:val="000000"/>
                <w:sz w:val="28"/>
                <w:szCs w:val="28"/>
                <w:lang w:val="kk-KZ"/>
              </w:rPr>
              <w:t>1998ж аяғы</w:t>
            </w:r>
          </w:p>
        </w:tc>
        <w:tc>
          <w:tcPr>
            <w:tcW w:w="1961" w:type="dxa"/>
            <w:tcBorders>
              <w:top w:val="single" w:sz="4" w:space="0" w:color="auto"/>
              <w:bottom w:val="single" w:sz="4" w:space="0" w:color="auto"/>
              <w:right w:val="single" w:sz="4" w:space="0" w:color="auto"/>
            </w:tcBorders>
          </w:tcPr>
          <w:p w:rsidR="00E55C14" w:rsidRPr="000F3CB0" w:rsidRDefault="00E55C14" w:rsidP="00BF1302">
            <w:pPr>
              <w:spacing w:after="0" w:line="240" w:lineRule="auto"/>
              <w:ind w:firstLine="454"/>
              <w:jc w:val="both"/>
              <w:rPr>
                <w:rFonts w:ascii="Times New Roman" w:eastAsia="Times New Roman" w:hAnsi="Times New Roman"/>
                <w:color w:val="000000"/>
                <w:sz w:val="28"/>
                <w:szCs w:val="28"/>
                <w:lang w:val="kk-KZ"/>
              </w:rPr>
            </w:pPr>
            <w:r w:rsidRPr="000F3CB0">
              <w:rPr>
                <w:rFonts w:ascii="Times New Roman" w:eastAsia="Times New Roman" w:hAnsi="Times New Roman"/>
                <w:color w:val="000000"/>
                <w:sz w:val="28"/>
                <w:szCs w:val="28"/>
                <w:lang w:val="kk-KZ"/>
              </w:rPr>
              <w:t>1999ж аяғы</w:t>
            </w:r>
          </w:p>
        </w:tc>
      </w:tr>
      <w:tr w:rsidR="00E55C14" w:rsidRPr="000F3CB0" w:rsidTr="00BF1302">
        <w:tc>
          <w:tcPr>
            <w:tcW w:w="2578" w:type="dxa"/>
          </w:tcPr>
          <w:p w:rsidR="00E55C14" w:rsidRPr="000F3CB0" w:rsidRDefault="00E55C14" w:rsidP="00BF1302">
            <w:pPr>
              <w:spacing w:after="0" w:line="240" w:lineRule="auto"/>
              <w:ind w:firstLine="454"/>
              <w:jc w:val="both"/>
              <w:rPr>
                <w:rFonts w:ascii="Times New Roman" w:eastAsia="Times New Roman" w:hAnsi="Times New Roman"/>
                <w:color w:val="000000"/>
                <w:sz w:val="28"/>
                <w:szCs w:val="28"/>
                <w:lang w:val="kk-KZ"/>
              </w:rPr>
            </w:pPr>
            <w:r w:rsidRPr="000F3CB0">
              <w:rPr>
                <w:rFonts w:ascii="Times New Roman" w:eastAsia="Times New Roman" w:hAnsi="Times New Roman"/>
                <w:color w:val="000000"/>
                <w:sz w:val="28"/>
                <w:szCs w:val="28"/>
                <w:lang w:val="kk-KZ"/>
              </w:rPr>
              <w:t>Мүшелердің  потенциалды санысы</w:t>
            </w:r>
          </w:p>
        </w:tc>
        <w:tc>
          <w:tcPr>
            <w:tcW w:w="2084" w:type="dxa"/>
          </w:tcPr>
          <w:p w:rsidR="00E55C14" w:rsidRPr="000F3CB0" w:rsidRDefault="00E55C14" w:rsidP="00BF1302">
            <w:pPr>
              <w:spacing w:after="0" w:line="240" w:lineRule="auto"/>
              <w:ind w:firstLine="454"/>
              <w:jc w:val="both"/>
              <w:rPr>
                <w:rFonts w:ascii="Times New Roman" w:eastAsia="Times New Roman" w:hAnsi="Times New Roman"/>
                <w:color w:val="000000"/>
                <w:sz w:val="28"/>
                <w:szCs w:val="28"/>
                <w:lang w:val="kk-KZ"/>
              </w:rPr>
            </w:pPr>
            <w:r w:rsidRPr="000F3CB0">
              <w:rPr>
                <w:rFonts w:ascii="Times New Roman" w:eastAsia="Times New Roman" w:hAnsi="Times New Roman"/>
                <w:color w:val="000000"/>
                <w:sz w:val="28"/>
                <w:szCs w:val="28"/>
                <w:lang w:val="kk-KZ"/>
              </w:rPr>
              <w:t>15000</w:t>
            </w:r>
          </w:p>
        </w:tc>
        <w:tc>
          <w:tcPr>
            <w:tcW w:w="2011" w:type="dxa"/>
            <w:gridSpan w:val="3"/>
            <w:tcBorders>
              <w:right w:val="single" w:sz="4" w:space="0" w:color="auto"/>
            </w:tcBorders>
          </w:tcPr>
          <w:p w:rsidR="00E55C14" w:rsidRPr="000F3CB0" w:rsidRDefault="00E55C14" w:rsidP="00BF1302">
            <w:pPr>
              <w:spacing w:after="0" w:line="240" w:lineRule="auto"/>
              <w:ind w:firstLine="454"/>
              <w:jc w:val="both"/>
              <w:rPr>
                <w:rFonts w:ascii="Times New Roman" w:eastAsia="Times New Roman" w:hAnsi="Times New Roman"/>
                <w:color w:val="000000"/>
                <w:sz w:val="28"/>
                <w:szCs w:val="28"/>
                <w:lang w:val="kk-KZ"/>
              </w:rPr>
            </w:pPr>
            <w:r w:rsidRPr="000F3CB0">
              <w:rPr>
                <w:rFonts w:ascii="Times New Roman" w:eastAsia="Times New Roman" w:hAnsi="Times New Roman"/>
                <w:color w:val="000000"/>
                <w:sz w:val="28"/>
                <w:szCs w:val="28"/>
                <w:lang w:val="kk-KZ"/>
              </w:rPr>
              <w:t>16000</w:t>
            </w:r>
          </w:p>
        </w:tc>
        <w:tc>
          <w:tcPr>
            <w:tcW w:w="2001" w:type="dxa"/>
            <w:tcBorders>
              <w:left w:val="single" w:sz="4" w:space="0" w:color="auto"/>
              <w:right w:val="single" w:sz="4" w:space="0" w:color="auto"/>
            </w:tcBorders>
          </w:tcPr>
          <w:p w:rsidR="00E55C14" w:rsidRPr="000F3CB0" w:rsidRDefault="00E55C14" w:rsidP="00BF1302">
            <w:pPr>
              <w:spacing w:after="0" w:line="240" w:lineRule="auto"/>
              <w:ind w:firstLine="454"/>
              <w:jc w:val="both"/>
              <w:rPr>
                <w:rFonts w:ascii="Times New Roman" w:eastAsia="Times New Roman" w:hAnsi="Times New Roman"/>
                <w:color w:val="000000"/>
                <w:sz w:val="28"/>
                <w:szCs w:val="28"/>
                <w:lang w:val="kk-KZ"/>
              </w:rPr>
            </w:pPr>
            <w:r w:rsidRPr="000F3CB0">
              <w:rPr>
                <w:rFonts w:ascii="Times New Roman" w:eastAsia="Times New Roman" w:hAnsi="Times New Roman"/>
                <w:color w:val="000000"/>
                <w:sz w:val="28"/>
                <w:szCs w:val="28"/>
                <w:lang w:val="kk-KZ"/>
              </w:rPr>
              <w:t>17000</w:t>
            </w:r>
          </w:p>
        </w:tc>
        <w:tc>
          <w:tcPr>
            <w:tcW w:w="2009" w:type="dxa"/>
            <w:gridSpan w:val="3"/>
            <w:tcBorders>
              <w:left w:val="single" w:sz="4" w:space="0" w:color="auto"/>
            </w:tcBorders>
          </w:tcPr>
          <w:p w:rsidR="00E55C14" w:rsidRPr="000F3CB0" w:rsidRDefault="00E55C14" w:rsidP="00BF1302">
            <w:pPr>
              <w:spacing w:after="0" w:line="240" w:lineRule="auto"/>
              <w:ind w:firstLine="454"/>
              <w:jc w:val="both"/>
              <w:rPr>
                <w:rFonts w:ascii="Times New Roman" w:eastAsia="Times New Roman" w:hAnsi="Times New Roman"/>
                <w:color w:val="000000"/>
                <w:sz w:val="28"/>
                <w:szCs w:val="28"/>
                <w:lang w:val="kk-KZ"/>
              </w:rPr>
            </w:pPr>
            <w:r w:rsidRPr="000F3CB0">
              <w:rPr>
                <w:rFonts w:ascii="Times New Roman" w:eastAsia="Times New Roman" w:hAnsi="Times New Roman"/>
                <w:color w:val="000000"/>
                <w:sz w:val="28"/>
                <w:szCs w:val="28"/>
                <w:lang w:val="kk-KZ"/>
              </w:rPr>
              <w:t>18000</w:t>
            </w:r>
          </w:p>
        </w:tc>
      </w:tr>
      <w:tr w:rsidR="00E55C14" w:rsidRPr="000F3CB0" w:rsidTr="00BF1302">
        <w:tc>
          <w:tcPr>
            <w:tcW w:w="2578" w:type="dxa"/>
          </w:tcPr>
          <w:p w:rsidR="00E55C14" w:rsidRPr="000F3CB0" w:rsidRDefault="00E55C14" w:rsidP="00BF1302">
            <w:pPr>
              <w:spacing w:after="0" w:line="240" w:lineRule="auto"/>
              <w:ind w:firstLine="454"/>
              <w:jc w:val="both"/>
              <w:rPr>
                <w:rFonts w:ascii="Times New Roman" w:eastAsia="Times New Roman" w:hAnsi="Times New Roman"/>
                <w:color w:val="000000"/>
                <w:sz w:val="28"/>
                <w:szCs w:val="28"/>
                <w:lang w:val="kk-KZ"/>
              </w:rPr>
            </w:pPr>
            <w:r w:rsidRPr="000F3CB0">
              <w:rPr>
                <w:rFonts w:ascii="Times New Roman" w:eastAsia="Times New Roman" w:hAnsi="Times New Roman"/>
                <w:color w:val="000000"/>
                <w:sz w:val="28"/>
                <w:szCs w:val="28"/>
                <w:lang w:val="kk-KZ"/>
              </w:rPr>
              <w:t>Жаңа мүшелердің  саны</w:t>
            </w:r>
          </w:p>
        </w:tc>
        <w:tc>
          <w:tcPr>
            <w:tcW w:w="2084" w:type="dxa"/>
          </w:tcPr>
          <w:p w:rsidR="00E55C14" w:rsidRPr="000F3CB0" w:rsidRDefault="00E55C14" w:rsidP="00BF1302">
            <w:pPr>
              <w:spacing w:after="0" w:line="240" w:lineRule="auto"/>
              <w:ind w:firstLine="454"/>
              <w:jc w:val="both"/>
              <w:rPr>
                <w:rFonts w:ascii="Times New Roman" w:eastAsia="Times New Roman" w:hAnsi="Times New Roman"/>
                <w:color w:val="000000"/>
                <w:sz w:val="28"/>
                <w:szCs w:val="28"/>
                <w:lang w:val="kk-KZ"/>
              </w:rPr>
            </w:pPr>
            <w:r w:rsidRPr="000F3CB0">
              <w:rPr>
                <w:rFonts w:ascii="Times New Roman" w:eastAsia="Times New Roman" w:hAnsi="Times New Roman"/>
                <w:color w:val="000000"/>
                <w:sz w:val="28"/>
                <w:szCs w:val="28"/>
                <w:lang w:val="kk-KZ"/>
              </w:rPr>
              <w:t xml:space="preserve">    -</w:t>
            </w:r>
          </w:p>
        </w:tc>
        <w:tc>
          <w:tcPr>
            <w:tcW w:w="2011" w:type="dxa"/>
            <w:gridSpan w:val="3"/>
          </w:tcPr>
          <w:p w:rsidR="00E55C14" w:rsidRPr="000F3CB0" w:rsidRDefault="00E55C14" w:rsidP="00BF1302">
            <w:pPr>
              <w:spacing w:after="0" w:line="240" w:lineRule="auto"/>
              <w:ind w:firstLine="454"/>
              <w:jc w:val="both"/>
              <w:rPr>
                <w:rFonts w:ascii="Times New Roman" w:eastAsia="Times New Roman" w:hAnsi="Times New Roman"/>
                <w:color w:val="000000"/>
                <w:sz w:val="28"/>
                <w:szCs w:val="28"/>
                <w:lang w:val="kk-KZ"/>
              </w:rPr>
            </w:pPr>
            <w:r w:rsidRPr="000F3CB0">
              <w:rPr>
                <w:rFonts w:ascii="Times New Roman" w:eastAsia="Times New Roman" w:hAnsi="Times New Roman"/>
                <w:color w:val="000000"/>
                <w:sz w:val="28"/>
                <w:szCs w:val="28"/>
                <w:lang w:val="kk-KZ"/>
              </w:rPr>
              <w:t>14000</w:t>
            </w:r>
          </w:p>
        </w:tc>
        <w:tc>
          <w:tcPr>
            <w:tcW w:w="2001" w:type="dxa"/>
          </w:tcPr>
          <w:p w:rsidR="00E55C14" w:rsidRPr="000F3CB0" w:rsidRDefault="00E55C14" w:rsidP="00BF1302">
            <w:pPr>
              <w:spacing w:after="0" w:line="240" w:lineRule="auto"/>
              <w:ind w:firstLine="454"/>
              <w:jc w:val="both"/>
              <w:rPr>
                <w:rFonts w:ascii="Times New Roman" w:eastAsia="Times New Roman" w:hAnsi="Times New Roman"/>
                <w:color w:val="000000"/>
                <w:sz w:val="28"/>
                <w:szCs w:val="28"/>
                <w:lang w:val="kk-KZ"/>
              </w:rPr>
            </w:pPr>
            <w:r w:rsidRPr="000F3CB0">
              <w:rPr>
                <w:rFonts w:ascii="Times New Roman" w:eastAsia="Times New Roman" w:hAnsi="Times New Roman"/>
                <w:color w:val="000000"/>
                <w:sz w:val="28"/>
                <w:szCs w:val="28"/>
                <w:lang w:val="kk-KZ"/>
              </w:rPr>
              <w:t>1500</w:t>
            </w:r>
          </w:p>
        </w:tc>
        <w:tc>
          <w:tcPr>
            <w:tcW w:w="2009" w:type="dxa"/>
            <w:gridSpan w:val="3"/>
          </w:tcPr>
          <w:p w:rsidR="00E55C14" w:rsidRPr="000F3CB0" w:rsidRDefault="00E55C14" w:rsidP="00BF1302">
            <w:pPr>
              <w:spacing w:after="0" w:line="240" w:lineRule="auto"/>
              <w:ind w:firstLine="454"/>
              <w:jc w:val="both"/>
              <w:rPr>
                <w:rFonts w:ascii="Times New Roman" w:eastAsia="Times New Roman" w:hAnsi="Times New Roman"/>
                <w:color w:val="000000"/>
                <w:sz w:val="28"/>
                <w:szCs w:val="28"/>
                <w:lang w:val="kk-KZ"/>
              </w:rPr>
            </w:pPr>
            <w:r w:rsidRPr="000F3CB0">
              <w:rPr>
                <w:rFonts w:ascii="Times New Roman" w:eastAsia="Times New Roman" w:hAnsi="Times New Roman"/>
                <w:color w:val="000000"/>
                <w:sz w:val="28"/>
                <w:szCs w:val="28"/>
                <w:lang w:val="kk-KZ"/>
              </w:rPr>
              <w:t>1600</w:t>
            </w:r>
          </w:p>
        </w:tc>
      </w:tr>
      <w:tr w:rsidR="00E55C14" w:rsidRPr="000F3CB0" w:rsidTr="00BF1302">
        <w:tc>
          <w:tcPr>
            <w:tcW w:w="2578" w:type="dxa"/>
          </w:tcPr>
          <w:p w:rsidR="00E55C14" w:rsidRPr="000F3CB0" w:rsidRDefault="00E55C14" w:rsidP="00BF1302">
            <w:pPr>
              <w:spacing w:after="0" w:line="240" w:lineRule="auto"/>
              <w:ind w:firstLine="454"/>
              <w:jc w:val="both"/>
              <w:rPr>
                <w:rFonts w:ascii="Times New Roman" w:eastAsia="Times New Roman" w:hAnsi="Times New Roman"/>
                <w:color w:val="000000"/>
                <w:sz w:val="28"/>
                <w:szCs w:val="28"/>
                <w:lang w:val="kk-KZ"/>
              </w:rPr>
            </w:pPr>
            <w:r w:rsidRPr="000F3CB0">
              <w:rPr>
                <w:rFonts w:ascii="Times New Roman" w:eastAsia="Times New Roman" w:hAnsi="Times New Roman"/>
                <w:color w:val="000000"/>
                <w:sz w:val="28"/>
                <w:szCs w:val="28"/>
                <w:lang w:val="kk-KZ"/>
              </w:rPr>
              <w:t>Мүшелердің жалпы саны</w:t>
            </w:r>
          </w:p>
        </w:tc>
        <w:tc>
          <w:tcPr>
            <w:tcW w:w="2084" w:type="dxa"/>
          </w:tcPr>
          <w:p w:rsidR="00E55C14" w:rsidRPr="000F3CB0" w:rsidRDefault="00E55C14" w:rsidP="00BF1302">
            <w:pPr>
              <w:spacing w:after="0" w:line="240" w:lineRule="auto"/>
              <w:ind w:firstLine="454"/>
              <w:jc w:val="both"/>
              <w:rPr>
                <w:rFonts w:ascii="Times New Roman" w:eastAsia="Times New Roman" w:hAnsi="Times New Roman"/>
                <w:color w:val="000000"/>
                <w:sz w:val="28"/>
                <w:szCs w:val="28"/>
                <w:lang w:val="kk-KZ"/>
              </w:rPr>
            </w:pPr>
            <w:r w:rsidRPr="000F3CB0">
              <w:rPr>
                <w:rFonts w:ascii="Times New Roman" w:eastAsia="Times New Roman" w:hAnsi="Times New Roman"/>
                <w:color w:val="000000"/>
                <w:sz w:val="28"/>
                <w:szCs w:val="28"/>
                <w:lang w:val="kk-KZ"/>
              </w:rPr>
              <w:t>9000</w:t>
            </w:r>
          </w:p>
        </w:tc>
        <w:tc>
          <w:tcPr>
            <w:tcW w:w="2011" w:type="dxa"/>
            <w:gridSpan w:val="3"/>
          </w:tcPr>
          <w:p w:rsidR="00E55C14" w:rsidRPr="000F3CB0" w:rsidRDefault="00E55C14" w:rsidP="00BF1302">
            <w:pPr>
              <w:spacing w:after="0" w:line="240" w:lineRule="auto"/>
              <w:ind w:firstLine="454"/>
              <w:jc w:val="both"/>
              <w:rPr>
                <w:rFonts w:ascii="Times New Roman" w:eastAsia="Times New Roman" w:hAnsi="Times New Roman"/>
                <w:color w:val="000000"/>
                <w:sz w:val="28"/>
                <w:szCs w:val="28"/>
                <w:lang w:val="kk-KZ"/>
              </w:rPr>
            </w:pPr>
            <w:r w:rsidRPr="000F3CB0">
              <w:rPr>
                <w:rFonts w:ascii="Times New Roman" w:eastAsia="Times New Roman" w:hAnsi="Times New Roman"/>
                <w:color w:val="000000"/>
                <w:sz w:val="28"/>
                <w:szCs w:val="28"/>
                <w:lang w:val="kk-KZ"/>
              </w:rPr>
              <w:t>10400</w:t>
            </w:r>
          </w:p>
        </w:tc>
        <w:tc>
          <w:tcPr>
            <w:tcW w:w="2001" w:type="dxa"/>
          </w:tcPr>
          <w:p w:rsidR="00E55C14" w:rsidRPr="000F3CB0" w:rsidRDefault="00E55C14" w:rsidP="00BF1302">
            <w:pPr>
              <w:spacing w:after="0" w:line="240" w:lineRule="auto"/>
              <w:ind w:firstLine="454"/>
              <w:jc w:val="both"/>
              <w:rPr>
                <w:rFonts w:ascii="Times New Roman" w:eastAsia="Times New Roman" w:hAnsi="Times New Roman"/>
                <w:color w:val="000000"/>
                <w:sz w:val="28"/>
                <w:szCs w:val="28"/>
                <w:lang w:val="kk-KZ"/>
              </w:rPr>
            </w:pPr>
            <w:r w:rsidRPr="000F3CB0">
              <w:rPr>
                <w:rFonts w:ascii="Times New Roman" w:eastAsia="Times New Roman" w:hAnsi="Times New Roman"/>
                <w:color w:val="000000"/>
                <w:sz w:val="28"/>
                <w:szCs w:val="28"/>
                <w:lang w:val="kk-KZ"/>
              </w:rPr>
              <w:t>11900</w:t>
            </w:r>
          </w:p>
        </w:tc>
        <w:tc>
          <w:tcPr>
            <w:tcW w:w="2009" w:type="dxa"/>
            <w:gridSpan w:val="3"/>
          </w:tcPr>
          <w:p w:rsidR="00E55C14" w:rsidRPr="000F3CB0" w:rsidRDefault="00E55C14" w:rsidP="00BF1302">
            <w:pPr>
              <w:spacing w:after="0" w:line="240" w:lineRule="auto"/>
              <w:ind w:firstLine="454"/>
              <w:jc w:val="both"/>
              <w:rPr>
                <w:rFonts w:ascii="Times New Roman" w:eastAsia="Times New Roman" w:hAnsi="Times New Roman"/>
                <w:color w:val="000000"/>
                <w:sz w:val="28"/>
                <w:szCs w:val="28"/>
                <w:lang w:val="kk-KZ"/>
              </w:rPr>
            </w:pPr>
            <w:r w:rsidRPr="000F3CB0">
              <w:rPr>
                <w:rFonts w:ascii="Times New Roman" w:eastAsia="Times New Roman" w:hAnsi="Times New Roman"/>
                <w:color w:val="000000"/>
                <w:sz w:val="28"/>
                <w:szCs w:val="28"/>
                <w:lang w:val="kk-KZ"/>
              </w:rPr>
              <w:t>13500</w:t>
            </w:r>
          </w:p>
        </w:tc>
      </w:tr>
      <w:tr w:rsidR="00E55C14" w:rsidRPr="000F3CB0" w:rsidTr="00BF1302">
        <w:tblPrEx>
          <w:tblLook w:val="0000"/>
        </w:tblPrEx>
        <w:trPr>
          <w:trHeight w:val="731"/>
        </w:trPr>
        <w:tc>
          <w:tcPr>
            <w:tcW w:w="2578" w:type="dxa"/>
          </w:tcPr>
          <w:p w:rsidR="00E55C14" w:rsidRPr="000F3CB0" w:rsidRDefault="00E55C14" w:rsidP="00BF1302">
            <w:pPr>
              <w:spacing w:after="0" w:line="240" w:lineRule="auto"/>
              <w:ind w:firstLine="454"/>
              <w:jc w:val="both"/>
              <w:rPr>
                <w:rFonts w:ascii="Times New Roman" w:eastAsia="Times New Roman" w:hAnsi="Times New Roman"/>
                <w:color w:val="000000"/>
                <w:sz w:val="28"/>
                <w:szCs w:val="28"/>
                <w:lang w:val="kk-KZ"/>
              </w:rPr>
            </w:pPr>
            <w:r w:rsidRPr="000F3CB0">
              <w:rPr>
                <w:rFonts w:ascii="Times New Roman" w:eastAsia="Times New Roman" w:hAnsi="Times New Roman"/>
                <w:color w:val="000000"/>
                <w:sz w:val="28"/>
                <w:szCs w:val="28"/>
                <w:lang w:val="kk-KZ"/>
              </w:rPr>
              <w:t>Қамту пайызы</w:t>
            </w:r>
            <w:r w:rsidRPr="000F3CB0">
              <w:rPr>
                <w:rFonts w:ascii="Times New Roman" w:eastAsia="Times New Roman" w:hAnsi="Times New Roman"/>
                <w:color w:val="000000"/>
                <w:sz w:val="28"/>
                <w:szCs w:val="28"/>
                <w:lang w:val="kk-KZ"/>
              </w:rPr>
              <w:br w:type="textWrapping" w:clear="all"/>
            </w:r>
          </w:p>
        </w:tc>
        <w:tc>
          <w:tcPr>
            <w:tcW w:w="2084" w:type="dxa"/>
          </w:tcPr>
          <w:p w:rsidR="00E55C14" w:rsidRPr="000F3CB0" w:rsidRDefault="00E55C14" w:rsidP="00BF1302">
            <w:pPr>
              <w:spacing w:after="0" w:line="240" w:lineRule="auto"/>
              <w:ind w:firstLine="454"/>
              <w:jc w:val="both"/>
              <w:rPr>
                <w:rFonts w:ascii="Times New Roman" w:eastAsia="Times New Roman" w:hAnsi="Times New Roman"/>
                <w:color w:val="000000"/>
                <w:sz w:val="28"/>
                <w:szCs w:val="28"/>
                <w:lang w:val="kk-KZ"/>
              </w:rPr>
            </w:pPr>
          </w:p>
          <w:p w:rsidR="00E55C14" w:rsidRPr="000F3CB0" w:rsidRDefault="00E55C14" w:rsidP="00BF1302">
            <w:pPr>
              <w:spacing w:after="0" w:line="240" w:lineRule="auto"/>
              <w:ind w:firstLine="454"/>
              <w:jc w:val="both"/>
              <w:rPr>
                <w:rFonts w:ascii="Times New Roman" w:eastAsia="Times New Roman" w:hAnsi="Times New Roman"/>
                <w:color w:val="000000"/>
                <w:sz w:val="28"/>
                <w:szCs w:val="28"/>
                <w:lang w:val="kk-KZ"/>
              </w:rPr>
            </w:pPr>
            <w:r w:rsidRPr="000F3CB0">
              <w:rPr>
                <w:rFonts w:ascii="Times New Roman" w:eastAsia="Times New Roman" w:hAnsi="Times New Roman"/>
                <w:color w:val="000000"/>
                <w:sz w:val="28"/>
                <w:szCs w:val="28"/>
                <w:lang w:val="kk-KZ"/>
              </w:rPr>
              <w:t>60</w:t>
            </w:r>
          </w:p>
        </w:tc>
        <w:tc>
          <w:tcPr>
            <w:tcW w:w="1999" w:type="dxa"/>
            <w:gridSpan w:val="2"/>
          </w:tcPr>
          <w:p w:rsidR="00E55C14" w:rsidRPr="000F3CB0" w:rsidRDefault="00E55C14" w:rsidP="00BF1302">
            <w:pPr>
              <w:spacing w:after="0" w:line="240" w:lineRule="auto"/>
              <w:ind w:firstLine="454"/>
              <w:jc w:val="both"/>
              <w:rPr>
                <w:rFonts w:ascii="Times New Roman" w:eastAsia="Times New Roman" w:hAnsi="Times New Roman"/>
                <w:color w:val="000000"/>
                <w:sz w:val="28"/>
                <w:szCs w:val="28"/>
                <w:lang w:val="kk-KZ"/>
              </w:rPr>
            </w:pPr>
          </w:p>
          <w:p w:rsidR="00E55C14" w:rsidRPr="000F3CB0" w:rsidRDefault="00E55C14" w:rsidP="00BF1302">
            <w:pPr>
              <w:spacing w:after="0" w:line="240" w:lineRule="auto"/>
              <w:ind w:firstLine="454"/>
              <w:jc w:val="both"/>
              <w:rPr>
                <w:rFonts w:ascii="Times New Roman" w:eastAsia="Times New Roman" w:hAnsi="Times New Roman"/>
                <w:color w:val="000000"/>
                <w:sz w:val="28"/>
                <w:szCs w:val="28"/>
                <w:lang w:val="kk-KZ"/>
              </w:rPr>
            </w:pPr>
            <w:r w:rsidRPr="000F3CB0">
              <w:rPr>
                <w:rFonts w:ascii="Times New Roman" w:eastAsia="Times New Roman" w:hAnsi="Times New Roman"/>
                <w:color w:val="000000"/>
                <w:sz w:val="28"/>
                <w:szCs w:val="28"/>
                <w:lang w:val="kk-KZ"/>
              </w:rPr>
              <w:t>65</w:t>
            </w:r>
          </w:p>
        </w:tc>
        <w:tc>
          <w:tcPr>
            <w:tcW w:w="2020" w:type="dxa"/>
            <w:gridSpan w:val="3"/>
          </w:tcPr>
          <w:p w:rsidR="00E55C14" w:rsidRPr="000F3CB0" w:rsidRDefault="00E55C14" w:rsidP="00BF1302">
            <w:pPr>
              <w:spacing w:after="0" w:line="240" w:lineRule="auto"/>
              <w:ind w:firstLine="454"/>
              <w:jc w:val="both"/>
              <w:rPr>
                <w:rFonts w:ascii="Times New Roman" w:eastAsia="Times New Roman" w:hAnsi="Times New Roman"/>
                <w:color w:val="000000"/>
                <w:sz w:val="28"/>
                <w:szCs w:val="28"/>
                <w:lang w:val="kk-KZ"/>
              </w:rPr>
            </w:pPr>
          </w:p>
          <w:p w:rsidR="00E55C14" w:rsidRPr="000F3CB0" w:rsidRDefault="00E55C14" w:rsidP="00BF1302">
            <w:pPr>
              <w:spacing w:after="0" w:line="240" w:lineRule="auto"/>
              <w:ind w:firstLine="454"/>
              <w:jc w:val="both"/>
              <w:rPr>
                <w:rFonts w:ascii="Times New Roman" w:eastAsia="Times New Roman" w:hAnsi="Times New Roman"/>
                <w:color w:val="000000"/>
                <w:sz w:val="28"/>
                <w:szCs w:val="28"/>
                <w:lang w:val="kk-KZ"/>
              </w:rPr>
            </w:pPr>
            <w:r w:rsidRPr="000F3CB0">
              <w:rPr>
                <w:rFonts w:ascii="Times New Roman" w:eastAsia="Times New Roman" w:hAnsi="Times New Roman"/>
                <w:color w:val="000000"/>
                <w:sz w:val="28"/>
                <w:szCs w:val="28"/>
                <w:lang w:val="kk-KZ"/>
              </w:rPr>
              <w:t>70</w:t>
            </w:r>
          </w:p>
        </w:tc>
        <w:tc>
          <w:tcPr>
            <w:tcW w:w="2002" w:type="dxa"/>
            <w:gridSpan w:val="2"/>
          </w:tcPr>
          <w:p w:rsidR="00E55C14" w:rsidRPr="000F3CB0" w:rsidRDefault="00E55C14" w:rsidP="00BF1302">
            <w:pPr>
              <w:spacing w:after="0" w:line="240" w:lineRule="auto"/>
              <w:ind w:firstLine="454"/>
              <w:jc w:val="both"/>
              <w:rPr>
                <w:rFonts w:ascii="Times New Roman" w:eastAsia="Times New Roman" w:hAnsi="Times New Roman"/>
                <w:color w:val="000000"/>
                <w:sz w:val="28"/>
                <w:szCs w:val="28"/>
                <w:lang w:val="kk-KZ"/>
              </w:rPr>
            </w:pPr>
          </w:p>
          <w:p w:rsidR="00E55C14" w:rsidRPr="000F3CB0" w:rsidRDefault="00E55C14" w:rsidP="00BF1302">
            <w:pPr>
              <w:spacing w:after="0" w:line="240" w:lineRule="auto"/>
              <w:ind w:firstLine="454"/>
              <w:jc w:val="both"/>
              <w:rPr>
                <w:rFonts w:ascii="Times New Roman" w:eastAsia="Times New Roman" w:hAnsi="Times New Roman"/>
                <w:color w:val="000000"/>
                <w:sz w:val="28"/>
                <w:szCs w:val="28"/>
                <w:lang w:val="kk-KZ"/>
              </w:rPr>
            </w:pPr>
            <w:r w:rsidRPr="000F3CB0">
              <w:rPr>
                <w:rFonts w:ascii="Times New Roman" w:eastAsia="Times New Roman" w:hAnsi="Times New Roman"/>
                <w:color w:val="000000"/>
                <w:sz w:val="28"/>
                <w:szCs w:val="28"/>
                <w:lang w:val="kk-KZ"/>
              </w:rPr>
              <w:t>75</w:t>
            </w:r>
          </w:p>
        </w:tc>
      </w:tr>
    </w:tbl>
    <w:p w:rsidR="00E55C14" w:rsidRPr="000F3CB0" w:rsidRDefault="00E55C14" w:rsidP="00E55C14">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 xml:space="preserve">    Нәтижеге  қол  жеткізу үшін  жаңа  формаларды  дамыту  керек, жұмыс  сапасының жақсаруына  әрқашанда  тұрақты жұмыс істеу,жаңа  мүшелерді қабылдауға компаниялар  құру қажет. Мақсатқа жетуге жылжу тұрақты қадағалауда болу қажет,ал жұмыс қорытындылары кем дегенде жылына бір рет жасалыну керек.</w:t>
      </w:r>
    </w:p>
    <w:p w:rsidR="00E55C14" w:rsidRPr="000F3CB0" w:rsidRDefault="00E55C14" w:rsidP="00E55C14">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 xml:space="preserve">         Мақсатты анықтаудағы негізгі мәселелердің бірі-оның өлшемділігі.Өлшемді мақсаттың  құрылымы ұстанған алғашқы  позицияларына  және  мақсаттың  мазмұнына  байланысты  оның  өлшемділігіне  баға  беру барысында  жинақталған нақты материалдың  қосымша өңдеуін  талап етеді.Мақсаттың өлщемділігіне байланысты келесідей  сұрақтарды  анықтаудың  маңызы зор:  </w:t>
      </w:r>
    </w:p>
    <w:p w:rsidR="00E55C14" w:rsidRPr="000F3CB0" w:rsidRDefault="00E55C14" w:rsidP="00E55C14">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*не өлшенеді? (ақша,материал,адам)</w:t>
      </w:r>
    </w:p>
    <w:p w:rsidR="00E55C14" w:rsidRPr="000F3CB0" w:rsidRDefault="00E55C14" w:rsidP="00E55C14">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*қалай  өлшенеді? (капиталды басқару,материалды қолдану,машина қызметі,адам жұмысы)</w:t>
      </w:r>
    </w:p>
    <w:p w:rsidR="00E55C14" w:rsidRPr="000F3CB0" w:rsidRDefault="00E55C14" w:rsidP="00E55C14">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 xml:space="preserve"> *өлшеу әдісі  қандай? (фундаменталды,тенденциялар,арақатынастар өлшемі)</w:t>
      </w:r>
    </w:p>
    <w:p w:rsidR="00E55C14" w:rsidRPr="000F3CB0" w:rsidRDefault="00E55C14" w:rsidP="00E55C14">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*өлшеу  функциялары  қандай?(мақсатқа  лайықтылық)</w:t>
      </w:r>
    </w:p>
    <w:p w:rsidR="00A24775" w:rsidRPr="00E55C14" w:rsidRDefault="00A24775">
      <w:pPr>
        <w:rPr>
          <w:lang w:val="kk-KZ"/>
        </w:rPr>
      </w:pPr>
    </w:p>
    <w:sectPr w:rsidR="00A24775" w:rsidRPr="00E55C14" w:rsidSect="00A2477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55C14"/>
    <w:rsid w:val="00A24775"/>
    <w:rsid w:val="00E55C1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5C14"/>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uiPriority w:val="99"/>
    <w:semiHidden/>
    <w:unhideWhenUsed/>
    <w:rsid w:val="00E55C14"/>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2049</Words>
  <Characters>11680</Characters>
  <Application>Microsoft Office Word</Application>
  <DocSecurity>0</DocSecurity>
  <Lines>97</Lines>
  <Paragraphs>27</Paragraphs>
  <ScaleCrop>false</ScaleCrop>
  <Company/>
  <LinksUpToDate>false</LinksUpToDate>
  <CharactersWithSpaces>13702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AKazykeshova</dc:creator>
  <cp:keywords/>
  <dc:description/>
  <cp:lastModifiedBy>AKazykeshova</cp:lastModifiedBy>
  <cp:revision>2</cp:revision>
  <dcterms:created xsi:type="dcterms:W3CDTF">2017-01-26T10:53:00Z</dcterms:created>
  <dcterms:modified xsi:type="dcterms:W3CDTF">2017-01-26T10:53:00Z</dcterms:modified>
</cp:coreProperties>
</file>